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5AB7" w:rsidTr="0098049D">
        <w:tc>
          <w:tcPr>
            <w:tcW w:w="4253" w:type="dxa"/>
          </w:tcPr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5AB7" w:rsidRDefault="00EB1E9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EB1E97" w:rsidRDefault="00EB1E9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8C5AB7" w:rsidRDefault="008C5AB7" w:rsidP="0098049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63415D"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8C5AB7" w:rsidRDefault="00497143" w:rsidP="008C5AB7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УК8.</w:t>
            </w:r>
            <w:r>
              <w:rPr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правовые, нормативные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основы безопасности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 методы повышения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физиологии человека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условия его 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и устранять проблемы,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связанные с нарушениями техники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на рабочем месте;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предотвращать возникновение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чрезвычайных ситуаций (природного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техногенного происхождения) на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рабочем месте,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с помощью средств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участие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спасательных и неотложных аварийно-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восстановительных мероприятиях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 возникновения чрезвычайных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обеспечения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безопасных условий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УК-10.2. Планирует, организует и проводит </w:t>
            </w:r>
            <w:r>
              <w:rPr>
                <w:sz w:val="24"/>
                <w:szCs w:val="24"/>
              </w:rPr>
              <w:lastRenderedPageBreak/>
              <w:t>мероприятия, обеспечивающие формирование гражданской позиции и предотвращение коррупции в обществе</w:t>
            </w:r>
          </w:p>
          <w:p w:rsidR="00040399" w:rsidRDefault="00040399">
            <w:pPr>
              <w:autoSpaceDE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>основные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</w:t>
            </w:r>
            <w:r>
              <w:rPr>
                <w:sz w:val="24"/>
                <w:szCs w:val="24"/>
              </w:rPr>
              <w:lastRenderedPageBreak/>
              <w:t>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040399" w:rsidRPr="00563288" w:rsidRDefault="00040399" w:rsidP="00040399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задания,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040399" w:rsidRDefault="00040399" w:rsidP="0004039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040399" w:rsidRPr="00B52415" w:rsidRDefault="00040399" w:rsidP="0004039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Влияние </w:t>
      </w:r>
      <w:proofErr w:type="gramStart"/>
      <w:r w:rsidRPr="00B52415">
        <w:rPr>
          <w:sz w:val="24"/>
          <w:szCs w:val="24"/>
        </w:rPr>
        <w:t>процесса  глобализации</w:t>
      </w:r>
      <w:proofErr w:type="gramEnd"/>
      <w:r w:rsidRPr="00B52415">
        <w:rPr>
          <w:sz w:val="24"/>
          <w:szCs w:val="24"/>
        </w:rPr>
        <w:t xml:space="preserve"> на уровень международной безопасности</w:t>
      </w:r>
    </w:p>
    <w:p w:rsidR="00040399" w:rsidRPr="00B52415" w:rsidRDefault="00040399" w:rsidP="0004039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040399" w:rsidRPr="00B52415" w:rsidRDefault="00040399" w:rsidP="0004039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proofErr w:type="gramStart"/>
      <w:r w:rsidRPr="00B52415">
        <w:rPr>
          <w:sz w:val="24"/>
          <w:szCs w:val="24"/>
        </w:rPr>
        <w:t>Сравнить  на</w:t>
      </w:r>
      <w:proofErr w:type="gramEnd"/>
      <w:r w:rsidRPr="00B52415">
        <w:rPr>
          <w:sz w:val="24"/>
          <w:szCs w:val="24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040399" w:rsidRPr="00B52415" w:rsidRDefault="00040399" w:rsidP="0004039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>- Изучить содержание рекламных роликов на предмет внедрения информационных мифов в массовое сознание населения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литературу по правилам поведения и </w:t>
      </w:r>
      <w:proofErr w:type="gramStart"/>
      <w:r w:rsidRPr="00B52415">
        <w:rPr>
          <w:sz w:val="24"/>
          <w:szCs w:val="24"/>
        </w:rPr>
        <w:t>действиям  населения</w:t>
      </w:r>
      <w:proofErr w:type="gramEnd"/>
      <w:r w:rsidRPr="00B52415">
        <w:rPr>
          <w:sz w:val="24"/>
          <w:szCs w:val="24"/>
        </w:rPr>
        <w:t xml:space="preserve"> при стихийных бедствиях, авариях и катастрофах;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040399" w:rsidRPr="00B52415" w:rsidRDefault="00040399" w:rsidP="0004039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040399" w:rsidRPr="00B52415" w:rsidRDefault="00040399" w:rsidP="0004039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040399" w:rsidRPr="00B52415" w:rsidRDefault="00040399" w:rsidP="0004039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 xml:space="preserve">Безопасность и защита </w:t>
      </w:r>
      <w:proofErr w:type="gramStart"/>
      <w:r w:rsidRPr="00B52415">
        <w:rPr>
          <w:b/>
          <w:i/>
          <w:color w:val="000000"/>
          <w:sz w:val="24"/>
          <w:szCs w:val="24"/>
        </w:rPr>
        <w:t>культурных  цен</w:t>
      </w:r>
      <w:r>
        <w:rPr>
          <w:b/>
          <w:i/>
          <w:color w:val="000000"/>
          <w:sz w:val="24"/>
          <w:szCs w:val="24"/>
        </w:rPr>
        <w:t>ностей</w:t>
      </w:r>
      <w:proofErr w:type="gramEnd"/>
      <w:r>
        <w:rPr>
          <w:b/>
          <w:i/>
          <w:color w:val="000000"/>
          <w:sz w:val="24"/>
          <w:szCs w:val="24"/>
        </w:rPr>
        <w:t xml:space="preserve">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040399" w:rsidRPr="00A73C11" w:rsidRDefault="00040399" w:rsidP="000403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9356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040399" w:rsidRPr="00A73C11" w:rsidTr="005829ED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040399" w:rsidRPr="00A73C11" w:rsidTr="005829ED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1. Негативные воздействия на людей средств и предметов </w:t>
            </w:r>
            <w:proofErr w:type="gramStart"/>
            <w:r w:rsidRPr="00A73C11">
              <w:rPr>
                <w:sz w:val="24"/>
                <w:szCs w:val="24"/>
              </w:rPr>
              <w:t>труда,  материалов</w:t>
            </w:r>
            <w:proofErr w:type="gramEnd"/>
            <w:r w:rsidRPr="00A73C11">
              <w:rPr>
                <w:sz w:val="24"/>
                <w:szCs w:val="24"/>
              </w:rPr>
              <w:t>, машин, зданий, сооружений называется … риском: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это?: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19. Наиболее безопасными местами в многоэтажном доме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во время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земле- трясения являются: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20. Наиболее опасными местами в </w:t>
            </w:r>
            <w:r w:rsidRPr="00A73C11">
              <w:rPr>
                <w:sz w:val="24"/>
                <w:szCs w:val="24"/>
              </w:rPr>
              <w:lastRenderedPageBreak/>
              <w:t>многоэтажном доме во время землетрясения являются:</w:t>
            </w: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в)индивидуальны</w:t>
            </w:r>
            <w:proofErr w:type="gramEnd"/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</w:t>
            </w:r>
            <w:proofErr w:type="gramEnd"/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lastRenderedPageBreak/>
              <w:t>а)локальные</w:t>
            </w:r>
            <w:proofErr w:type="gramEnd"/>
            <w:r w:rsidRPr="00A73C11">
              <w:rPr>
                <w:sz w:val="24"/>
                <w:szCs w:val="24"/>
              </w:rPr>
              <w:t>, региональные;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</w:t>
            </w:r>
            <w:proofErr w:type="gramStart"/>
            <w:r w:rsidRPr="00A73C11">
              <w:rPr>
                <w:sz w:val="24"/>
                <w:szCs w:val="24"/>
              </w:rPr>
              <w:t xml:space="preserve">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д)Административным</w:t>
            </w:r>
            <w:proofErr w:type="gramEnd"/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в)землетрясение</w:t>
            </w:r>
            <w:proofErr w:type="gramEnd"/>
            <w:r w:rsidRPr="00A73C11">
              <w:rPr>
                <w:sz w:val="24"/>
                <w:szCs w:val="24"/>
              </w:rPr>
              <w:t xml:space="preserve">;     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lastRenderedPageBreak/>
              <w:t>поражения.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040399" w:rsidRPr="00A73C11" w:rsidTr="005829ED">
        <w:tc>
          <w:tcPr>
            <w:tcW w:w="534" w:type="dxa"/>
          </w:tcPr>
          <w:p w:rsidR="00040399" w:rsidRPr="00A73C11" w:rsidRDefault="005829ED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sz w:val="24"/>
                <w:szCs w:val="24"/>
              </w:rPr>
              <w:lastRenderedPageBreak/>
              <w:t>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Гражданская позиция.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г) утрату доверия комиссии по соблюдению требований к служебному поведению и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урегулированию интересов по отношению к государственному гражданскому служащему;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никакая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040399" w:rsidRPr="00A73C11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040399" w:rsidRPr="00A73C11" w:rsidRDefault="00040399" w:rsidP="0004039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</w:t>
            </w:r>
          </w:p>
        </w:tc>
      </w:tr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10.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lastRenderedPageBreak/>
              <w:t>1.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1. г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040399" w:rsidRPr="00B52415" w:rsidRDefault="00040399" w:rsidP="00040399">
      <w:pPr>
        <w:jc w:val="both"/>
        <w:rPr>
          <w:b/>
          <w:sz w:val="24"/>
          <w:szCs w:val="24"/>
        </w:rPr>
      </w:pPr>
    </w:p>
    <w:p w:rsidR="00040399" w:rsidRPr="00AF3859" w:rsidRDefault="00040399" w:rsidP="0004039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040399" w:rsidRPr="00AF3859" w:rsidRDefault="00040399" w:rsidP="0004039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040399" w:rsidRDefault="00040399" w:rsidP="00040399">
      <w:pPr>
        <w:jc w:val="both"/>
        <w:rPr>
          <w:i/>
          <w:sz w:val="24"/>
          <w:szCs w:val="24"/>
          <w:lang w:eastAsia="ru-RU"/>
        </w:rPr>
      </w:pPr>
    </w:p>
    <w:p w:rsidR="00040399" w:rsidRDefault="00040399" w:rsidP="0004039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040399" w:rsidRDefault="00040399" w:rsidP="0004039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040399" w:rsidRDefault="00040399" w:rsidP="0004039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040399" w:rsidTr="00395849">
        <w:trPr>
          <w:trHeight w:val="275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lastRenderedPageBreak/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040399" w:rsidRDefault="00040399" w:rsidP="00395849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040399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040399" w:rsidRPr="00594CDF" w:rsidRDefault="00040399" w:rsidP="00395849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40399" w:rsidRPr="00B01317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040399" w:rsidRDefault="00040399" w:rsidP="00040399">
      <w:pPr>
        <w:jc w:val="both"/>
        <w:rPr>
          <w:b/>
          <w:i/>
          <w:sz w:val="24"/>
          <w:szCs w:val="24"/>
          <w:lang w:eastAsia="ru-RU"/>
        </w:rPr>
      </w:pPr>
    </w:p>
    <w:p w:rsidR="00040399" w:rsidRPr="00F32BE4" w:rsidRDefault="00040399" w:rsidP="00040399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040399" w:rsidRPr="004771C5" w:rsidRDefault="00040399" w:rsidP="00040399">
      <w:pPr>
        <w:ind w:right="-443" w:firstLine="426"/>
      </w:pPr>
    </w:p>
    <w:p w:rsidR="00040399" w:rsidRPr="00B01317" w:rsidRDefault="00040399" w:rsidP="0004039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040399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040399" w:rsidRPr="00563288" w:rsidRDefault="00040399" w:rsidP="00040399">
      <w:pPr>
        <w:spacing w:line="276" w:lineRule="auto"/>
        <w:ind w:firstLine="709"/>
        <w:jc w:val="both"/>
        <w:rPr>
          <w:sz w:val="24"/>
          <w:szCs w:val="24"/>
        </w:rPr>
      </w:pP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40399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040399" w:rsidRDefault="00040399" w:rsidP="00040399">
      <w:pPr>
        <w:rPr>
          <w:sz w:val="24"/>
          <w:szCs w:val="24"/>
        </w:rPr>
      </w:pPr>
    </w:p>
    <w:p w:rsidR="00040399" w:rsidRPr="00284B89" w:rsidRDefault="00040399" w:rsidP="00D35689">
      <w:pPr>
        <w:ind w:firstLine="851"/>
        <w:jc w:val="both"/>
        <w:rPr>
          <w:sz w:val="24"/>
          <w:szCs w:val="24"/>
          <w:lang w:eastAsia="ru-RU"/>
        </w:rPr>
      </w:pP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</w:t>
      </w:r>
      <w:proofErr w:type="spellStart"/>
      <w:r>
        <w:rPr>
          <w:sz w:val="24"/>
          <w:szCs w:val="24"/>
        </w:rPr>
        <w:t>Каравацкая</w:t>
      </w:r>
      <w:proofErr w:type="spellEnd"/>
      <w:r>
        <w:rPr>
          <w:sz w:val="24"/>
          <w:szCs w:val="24"/>
        </w:rPr>
        <w:t xml:space="preserve"> Н.А.</w:t>
      </w:r>
    </w:p>
    <w:p w:rsidR="00D35689" w:rsidRDefault="00D35689" w:rsidP="00D35689">
      <w:pPr>
        <w:ind w:firstLine="851"/>
        <w:jc w:val="both"/>
        <w:rPr>
          <w:i/>
          <w:sz w:val="24"/>
          <w:szCs w:val="24"/>
          <w:lang w:eastAsia="ru-RU"/>
        </w:rPr>
      </w:pPr>
    </w:p>
    <w:sectPr w:rsidR="00D35689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40399"/>
    <w:rsid w:val="000C1755"/>
    <w:rsid w:val="00233977"/>
    <w:rsid w:val="002D7622"/>
    <w:rsid w:val="003C4008"/>
    <w:rsid w:val="00497143"/>
    <w:rsid w:val="00563288"/>
    <w:rsid w:val="005829ED"/>
    <w:rsid w:val="006232D5"/>
    <w:rsid w:val="0063415D"/>
    <w:rsid w:val="00676093"/>
    <w:rsid w:val="00771F95"/>
    <w:rsid w:val="00774CB0"/>
    <w:rsid w:val="007D27BC"/>
    <w:rsid w:val="008C5AB7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EB1E9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E972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paragraph" w:customStyle="1" w:styleId="Default">
    <w:name w:val="Default"/>
    <w:qFormat/>
    <w:rsid w:val="000403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040399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040399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0403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040399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040399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6982A-C9F0-457E-B2E5-A4E5B13C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6</cp:revision>
  <dcterms:created xsi:type="dcterms:W3CDTF">2022-09-28T10:37:00Z</dcterms:created>
  <dcterms:modified xsi:type="dcterms:W3CDTF">2024-06-03T11:46:00Z</dcterms:modified>
</cp:coreProperties>
</file>